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0"/>
        <w:jc w:val="center"/>
      </w:pPr>
      <w:r>
        <w:rPr>
          <w:b/>
          <w:bCs/>
          <w:color w:val="0F2E4A"/>
          <w:sz w:val="32"/>
          <w:szCs w:val="32"/>
        </w:rPr>
        <w:t xml:space="preserve">ООО «SELLAI» (SELLAI LLC)</w:t>
      </w:r>
    </w:p>
    <w:p>
      <w:pPr>
        <w:spacing w:after="120"/>
        <w:jc w:val="center"/>
      </w:pPr>
      <w:r>
        <w:rPr>
          <w:color w:val="1A1A1A"/>
          <w:sz w:val="24"/>
          <w:szCs w:val="24"/>
        </w:rPr>
        <w:t xml:space="preserve">Сервис SafeLaw (safelaw.ai)</w:t>
      </w:r>
    </w:p>
    <w:p>
      <w:pPr>
        <w:spacing w:after="2400"/>
        <w:jc w:val="center"/>
      </w:pPr>
      <w:r>
        <w:rPr>
          <w:color w:val="606060"/>
          <w:sz w:val="20"/>
          <w:szCs w:val="20"/>
        </w:rPr>
        <w:t xml:space="preserve">ИНН 312530703, г. Нукус, Республика Каракалпакстан, Узбекистан</w:t>
      </w:r>
    </w:p>
    <w:p>
      <w:pPr>
        <w:spacing w:after="240"/>
        <w:jc w:val="center"/>
      </w:pPr>
      <w:r>
        <w:rPr>
          <w:b/>
          <w:bCs/>
          <w:color w:val="0F2E4A"/>
          <w:sz w:val="44"/>
          <w:szCs w:val="44"/>
        </w:rPr>
        <w:t xml:space="preserve">ПОЛИТИКА УПРАВЛЕНИЯ ПОСТАВЩИКАМИ УСЛУГ</w:t>
      </w:r>
    </w:p>
    <w:p>
      <w:pPr>
        <w:spacing w:after="2400"/>
        <w:jc w:val="center"/>
      </w:pPr>
      <w:r>
        <w:rPr>
          <w:color w:val="606060"/>
          <w:sz w:val="22"/>
          <w:szCs w:val="22"/>
        </w:rPr>
        <w:t xml:space="preserve">Документ TPSP-01</w:t>
      </w:r>
    </w:p>
    <w:p>
      <w:pPr>
        <w:jc w:val="center"/>
      </w:pPr>
      <w:r>
        <w:rPr>
          <w:sz w:val="22"/>
          <w:szCs w:val="22"/>
        </w:rPr>
        <w:t xml:space="preserve">Версия 1.0</w:t>
      </w:r>
    </w:p>
    <w:p>
      <w:pPr>
        <w:spacing w:after="120"/>
        <w:jc w:val="center"/>
      </w:pPr>
      <w:r>
        <w:rPr>
          <w:sz w:val="22"/>
          <w:szCs w:val="22"/>
        </w:rPr>
        <w:t xml:space="preserve">Дата ввода в действие: 15 мая 2026 г.</w:t>
      </w:r>
    </w:p>
    <w:p>
      <w:pPr>
        <w:spacing w:after="120"/>
        <w:jc w:val="center"/>
      </w:pPr>
      <w:r>
        <w:rPr>
          <w:i/>
          <w:iCs/>
          <w:color w:val="606060"/>
          <w:sz w:val="22"/>
          <w:szCs w:val="22"/>
        </w:rPr>
        <w:t xml:space="preserve">Соответствие: PCI DSS v4.0.1, SAQ A</w:t>
      </w:r>
    </w:p>
    <w:p>
      <w:r>
        <w:br w:type="page"/>
      </w:r>
    </w:p>
    <w:p>
      <w:pPr>
        <w:pStyle w:val="Heading1"/>
      </w:pPr>
      <w:r>
        <w:t xml:space="preserve">1. Назначение</w:t>
      </w:r>
    </w:p>
    <w:p>
      <w:pPr>
        <w:spacing w:after="120"/>
        <w:jc w:val="both"/>
      </w:pPr>
      <w:r>
        <w:t xml:space="preserve">Настоящая Политика управления поставщиками услуг (далее — Политика) устанавливает порядок выбора, оценки, заключения договоров, мониторинга и прекращения отношений ООО «SELLAI» (далее — Компания) с третьими сторонами, оказывающими услуги, которые могут повлиять на безопасность данных пользователей, в том числе данных платёжных карт, обрабатываемых в рамках сервиса SafeLaw (safelaw.ai). Политика разработана в соответствии с Требованием 12.8 стандарта PCI DSS v4.0.1.</w:t>
      </w:r>
    </w:p>
    <w:p>
      <w:pPr>
        <w:pStyle w:val="Heading1"/>
      </w:pPr>
      <w:r>
        <w:t xml:space="preserve">2. Область применения</w:t>
      </w:r>
    </w:p>
    <w:p>
      <w:pPr>
        <w:spacing w:after="120"/>
        <w:jc w:val="both"/>
      </w:pPr>
      <w:r>
        <w:t xml:space="preserve">Действие Политики распространяется на всех поставщиков услуг (Third-Party Service Providers, далее — TPSP), которые: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имеют доступ к данным платёжных карт пользователей или могут повлиять на безопасность среды обработки таких данных (CDE);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обрабатывают, хранят или передают персональные данные пользователей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предоставляют инфраструктурные услуги, обеспечивающие работу публичных сервисов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осуществляют поддержку или администрирование информационных систем Компании.</w:t>
      </w:r>
    </w:p>
    <w:p>
      <w:pPr>
        <w:pStyle w:val="Heading1"/>
      </w:pPr>
      <w:r>
        <w:t xml:space="preserve">3. Определения</w:t>
      </w:r>
    </w:p>
    <w:p>
      <w:pPr>
        <w:spacing w:after="120"/>
        <w:jc w:val="both"/>
      </w:pPr>
      <w:r>
        <w:rPr>
          <w:b/>
          <w:bCs/>
        </w:rPr>
        <w:t xml:space="preserve">Поставщик услуг (TPSP)</w:t>
      </w:r>
      <w:r>
        <w:t xml:space="preserve"> — юридическое или физическое лицо, не являющееся работником Компании, оказывающее услуги, перечисленные в разделе 2 настоящей Политики.</w:t>
      </w:r>
    </w:p>
    <w:p>
      <w:pPr>
        <w:spacing w:after="120"/>
        <w:jc w:val="both"/>
      </w:pPr>
      <w:r>
        <w:rPr>
          <w:b/>
          <w:bCs/>
        </w:rPr>
        <w:t xml:space="preserve">Должная осмотрительность (Due Diligence)</w:t>
      </w:r>
      <w:r>
        <w:t xml:space="preserve"> — процесс предварительной оценки потенциального поставщика услуг на предмет его способности обеспечить безопасность данных, переданных ему Компанией.</w:t>
      </w:r>
    </w:p>
    <w:p>
      <w:pPr>
        <w:spacing w:after="120"/>
        <w:jc w:val="both"/>
      </w:pPr>
      <w:r>
        <w:rPr>
          <w:b/>
          <w:bCs/>
        </w:rPr>
        <w:t xml:space="preserve">Attestation of Compliance (AoC)</w:t>
      </w:r>
      <w:r>
        <w:t xml:space="preserve"> — документ, подтверждающий соответствие поставщика услуг требованиям PCI DSS.</w:t>
      </w:r>
    </w:p>
    <w:p>
      <w:pPr>
        <w:spacing w:after="120"/>
        <w:jc w:val="both"/>
      </w:pPr>
      <w:r>
        <w:rPr>
          <w:b/>
          <w:bCs/>
        </w:rPr>
        <w:t xml:space="preserve">DPA (Data Processing Agreement)</w:t>
      </w:r>
      <w:r>
        <w:t xml:space="preserve"> — соглашение об обработке персональных данных между Компанией (контролёр) и поставщиком услуг (обработчик).</w:t>
      </w:r>
    </w:p>
    <w:p>
      <w:pPr>
        <w:pStyle w:val="Heading1"/>
      </w:pPr>
      <w:r>
        <w:t xml:space="preserve">4. Реестр поставщиков услуг</w:t>
      </w:r>
    </w:p>
    <w:p>
      <w:pPr>
        <w:spacing w:after="120"/>
        <w:jc w:val="both"/>
      </w:pPr>
      <w:r>
        <w:t xml:space="preserve">Компания ведёт актуальный реестр всех поставщиков услуг, подпадающих под действие настоящей Политики. По каждому поставщику в реестре фиксируются: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наименование, страна регистрации, контактные данные;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вид и описание оказываемых услуг;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категория услуг с точки зрения PCI DSS (платёжный сервис, инфраструктура, хостинг, AI, прочее);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конкретные требования PCI DSS, исполняемые поставщиком от имени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дата заключения и срок действия договора;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наличие и срок действия Attestation of Compliance (для платёжных и инфраструктурных TPSP);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наличие DPA (для поставщиков, обрабатывающих персональные данные);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дата последней оценки соответствия;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ответственное лицо со стороны Компании за взаимодействие с поставщиком.</w:t>
      </w:r>
    </w:p>
    <w:p>
      <w:pPr>
        <w:spacing w:after="120"/>
        <w:jc w:val="both"/>
      </w:pPr>
      <w:r>
        <w:t xml:space="preserve">Реестр пересматривается не реже одного раза в 12 месяцев и обновляется при любых изменениях состава поставщиков.</w:t>
      </w:r>
    </w:p>
    <w:p>
      <w:pPr>
        <w:pStyle w:val="Heading2"/>
      </w:pPr>
      <w:r>
        <w:t xml:space="preserve">4.1. Действующий состав поставщиков услуг Компании</w:t>
      </w:r>
    </w:p>
    <w:p>
      <w:pPr>
        <w:spacing w:after="120"/>
        <w:jc w:val="both"/>
      </w:pPr>
      <w:r>
        <w:t xml:space="preserve">Состояние на 15 мая 2026 г.: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400"/>
        <w:gridCol w:w="2826"/>
        <w:gridCol w:w="2400"/>
      </w:tblGrid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Поставщик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Юрисдикция</w:t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Услуга / роль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Категория PCI DSS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АКБ «Ипак Йули»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Узбекистан</w:t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Платёжный эквайринг, обработка данных платёжных карт через redirect flow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Платёжный сервис (имеет PCI DSS как эквайер)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Cloudflare, Inc.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США</w:t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WAF, CDN, защита от DDoS, управление DNS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Инфраструктура / средства защиты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Netcup GmbH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Германия</w:t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Хостинг производственных серверов сервиса SafeLaw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Инфраструктура / хостинг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Google LLC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США</w:t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Корпоративная почта и совместная работа (Google Workspace); AI-сервисы (Vertex AI Gemini)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Корпоративные сервисы и AI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Anthropic PBC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США</w:t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AI-сервис Claude API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AI-сервис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OpenAI, OpCo, LLC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США</w:t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AI-сервис GPT API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AI-сервис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Namecheap, Inc.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США</w:t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Регистратор доменного имени safelaw.ai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Инфраструктура</w:t>
            </w:r>
          </w:p>
        </w:tc>
      </w:tr>
    </w:tbl>
    <w:p>
      <w:r>
        <w:t xml:space="preserve"/>
      </w:r>
    </w:p>
    <w:p>
      <w:pPr>
        <w:spacing w:after="120"/>
        <w:jc w:val="both"/>
      </w:pPr>
      <w:r>
        <w:t xml:space="preserve">Ни один из перечисленных поставщиков (за исключением АКБ «Ипак Йули» как платёжного эквайера) не имеет доступа к данным платёжных карт пользователей, поскольку Компания не обрабатывает PAN и SAD на своей инфраструктуре.</w:t>
      </w:r>
    </w:p>
    <w:p>
      <w:pPr>
        <w:pStyle w:val="Heading1"/>
      </w:pPr>
      <w:r>
        <w:t xml:space="preserve">5. Процедура выбора поставщика</w:t>
      </w:r>
    </w:p>
    <w:p>
      <w:pPr>
        <w:pStyle w:val="Heading2"/>
      </w:pPr>
      <w:r>
        <w:t xml:space="preserve">5.1. Должная осмотрительность</w:t>
      </w:r>
    </w:p>
    <w:p>
      <w:pPr>
        <w:spacing w:after="120"/>
        <w:jc w:val="both"/>
      </w:pPr>
      <w:r>
        <w:t xml:space="preserve">Перед заключением договора с потенциальным поставщиком услуг, подпадающим под действие настоящей Политики, осуществляется его оценка по следующим критериям: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наличие необходимых лицензий, разрешений, регистраций;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соответствие применимым стандартам и сертификациям (PCI DSS, ISO 27001, SOC 2 — в зависимости от типа услуги);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репутация на рынке, наличие инцидентов информационной безопасности в публичных источниках;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прозрачность политик информационной безопасности и обработки данных;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способность подписать договорные обязательства по защите данных;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географическое расположение инфраструктуры обработки данных;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финансовая устойчивость;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условия SLA и поддержки.</w:t>
      </w:r>
    </w:p>
    <w:p>
      <w:pPr>
        <w:spacing w:after="120"/>
        <w:jc w:val="both"/>
      </w:pPr>
      <w:r>
        <w:t xml:space="preserve">Для платёжных провайдеров и поставщиков, имеющих доступ к данным платёжных карт, обязательным является наличие действующего сертификата PCI DSS соответствующего уровня. Запрашивается копия Attestation of Compliance (AoC).</w:t>
      </w:r>
    </w:p>
    <w:p>
      <w:pPr>
        <w:pStyle w:val="Heading2"/>
      </w:pPr>
      <w:r>
        <w:t xml:space="preserve">5.2. Документирование оценки</w:t>
      </w:r>
    </w:p>
    <w:p>
      <w:pPr>
        <w:spacing w:after="120"/>
        <w:jc w:val="both"/>
      </w:pPr>
      <w:r>
        <w:t xml:space="preserve">Результаты оценки документально оформляются в виде краткого отчёта, содержащего: наименование поставщика, предлагаемые услуги, перечень проверенных критериев, выявленные риски, рекомендацию о заключении договора или отказе. Отчёт хранится в течение срока действия договора и 3 лет после его прекращения.</w:t>
      </w:r>
    </w:p>
    <w:p>
      <w:pPr>
        <w:pStyle w:val="Heading1"/>
      </w:pPr>
      <w:r>
        <w:t xml:space="preserve">6. Договорные требования</w:t>
      </w:r>
    </w:p>
    <w:p>
      <w:pPr>
        <w:spacing w:after="120"/>
        <w:jc w:val="both"/>
      </w:pPr>
      <w:r>
        <w:t xml:space="preserve">Договор с TPSP, имеющим доступ к данным Компании или влияющим на безопасность данных, в обязательном порядке содержит положения: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обязательство поставщика соблюдать применимое законодательство и стандарты (в том числе PCI DSS — для платёжных и инфраструктурных провайдеров; Закон РУз № ЗРУ-547 «О персональных данных» — для обработчиков персональных данных пользователей-резидентов Узбекистана);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чёткое распределение ответственности по обеспечению информационной безопасности между Компанией и поставщиком;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обязанность поставщика уведомить Компанию об инцидентах информационной безопасности, затрагивающих данные Компании, не позднее установленного срока;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право Компании на запрос подтверждающих документов о соответствии поставщика стандартам безопасности;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обязательства по конфиденциальности информации, полученной от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порядок возврата или уничтожения данных Компании при прекращении договора;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ответственность за нарушение договорных обязательств в части безопасности данных.</w:t>
      </w:r>
    </w:p>
    <w:p>
      <w:pPr>
        <w:spacing w:after="120"/>
        <w:jc w:val="both"/>
      </w:pPr>
      <w:r>
        <w:t xml:space="preserve">При невозможности включения отдельных положений в стандартные условия международных поставщиков (Cloudflare, Google, Anthropic, OpenAI, Netcup и др.) Компания опирается на публичные условия использования, политики конфиденциальности и Data Processing Agreement, предлагаемые этими поставщиками, и обеспечивает их соответствие требованиям Компании. Заключение DPA с указанными поставщиками является обязательным.</w:t>
      </w:r>
    </w:p>
    <w:p>
      <w:pPr>
        <w:pStyle w:val="Heading1"/>
      </w:pPr>
      <w:r>
        <w:t xml:space="preserve">7. Распределение обязанностей по обеспечению соответствия PCI DSS</w:t>
      </w:r>
    </w:p>
    <w:p>
      <w:pPr>
        <w:spacing w:after="120"/>
        <w:jc w:val="both"/>
      </w:pPr>
      <w:r>
        <w:t xml:space="preserve">Между Компанией и TPSP осуществляется чёткое распределение обязанностей по обеспечению соответствия требованиям PCI DSS. Распределение фиксируется документально в матрице ответственности (Responsibility Matrix).</w:t>
      </w:r>
    </w:p>
    <w:p>
      <w:pPr>
        <w:pStyle w:val="Heading2"/>
      </w:pPr>
      <w:r>
        <w:t xml:space="preserve">7.1. Обязанности банка-эквайера (АКБ «Ипак Йули»)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обработка, хранение, передача данных платёжных карт пользователей;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обеспечение безопасности платёжного шлюза и платёжных страниц;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соответствие требованиям PCI DSS, применимым к платёжному сервисному провайдеру;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уведомление Компании о любых инцидентах безопасности, затрагивающих платёжные операции.</w:t>
      </w:r>
    </w:p>
    <w:p>
      <w:pPr>
        <w:pStyle w:val="Heading2"/>
      </w:pPr>
      <w:r>
        <w:t xml:space="preserve">7.2. Обязанности Компании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обеспечение того, чтобы данные платёжных карт не передавались на инфраструктуру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безопасная интеграция с платёжным шлюзом (правильная настройка redirect flow, проверка возвращаемых параметров);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защита веб-сайта safelaw.ai от вмешательств, которые могли бы привести к перенаправлению пользователей на поддельные платёжные страницы;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соблюдение требований SAQ A, применимых к мерчанту с полным аутсорсингом обработки CHD;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ведение реестра TPSP и мониторинг их соответствия PCI DSS.</w:t>
      </w:r>
    </w:p>
    <w:p>
      <w:pPr>
        <w:pStyle w:val="Heading1"/>
      </w:pPr>
      <w:r>
        <w:t xml:space="preserve">8. Мониторинг соответствия поставщиков</w:t>
      </w:r>
    </w:p>
    <w:p>
      <w:pPr>
        <w:spacing w:after="120"/>
        <w:jc w:val="both"/>
      </w:pPr>
      <w:r>
        <w:t xml:space="preserve">Компания осуществляет регулярный мониторинг соответствия поставщиков услуг применимым требованиям: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не реже одного раза в 12 месяцев запрашивается актуальная Attestation of Compliance у платёжных и инфраструктурных TPSP;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наличии у поставщика публичного Trust Center или страницы соответствия (Compliance Page) актуальность статуса проверяется по официальным источникам;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отслеживаются публикации поставщиков об инцидентах безопасности, в том числе через их официальные блоги, страницы статуса и публичные отчёты;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выявлении существенных проблем у поставщика (утечка данных, отзыв сертификации, ухудшение финансового положения) проводится повторная оценка.</w:t>
      </w:r>
    </w:p>
    <w:p>
      <w:pPr>
        <w:spacing w:after="120"/>
        <w:jc w:val="both"/>
      </w:pPr>
      <w:r>
        <w:t xml:space="preserve">Результаты мониторинга фиксируются в реестре TPSP.</w:t>
      </w:r>
    </w:p>
    <w:p>
      <w:pPr>
        <w:pStyle w:val="Heading1"/>
      </w:pPr>
      <w:r>
        <w:t xml:space="preserve">9. Управление изменениями</w:t>
      </w:r>
    </w:p>
    <w:p>
      <w:pPr>
        <w:spacing w:after="120"/>
        <w:jc w:val="both"/>
      </w:pPr>
      <w:r>
        <w:t xml:space="preserve">При любом из следующих событий проводится пересмотр статуса поставщика: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изменение перечня услуг, оказываемых поставщиком;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изменение объёма или категории данных, передаваемых поставщику;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истечение срока сертификации/AoC поставщика;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публикация информации об инциденте безопасности у поставщика;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изменение собственника, юрисдикции или существенных условий деятельности поставщика.</w:t>
      </w:r>
    </w:p>
    <w:p>
      <w:pPr>
        <w:pStyle w:val="Heading1"/>
      </w:pPr>
      <w:r>
        <w:t xml:space="preserve">10. Прекращение отношений с поставщиком</w:t>
      </w:r>
    </w:p>
    <w:p>
      <w:pPr>
        <w:spacing w:after="120"/>
        <w:jc w:val="both"/>
      </w:pPr>
      <w:r>
        <w:t xml:space="preserve">При прекращении договора с поставщиком обеспечиваются: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своевременное прекращение всех технических интеграций (отзыв API-ключей, токенов доступа, удаление учётных записей у поставщика и в системах Компании);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возврат или уничтожение данных Компании, переданных поставщику, с получением документального подтверждения;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исключение поставщика из активного реестра TPSP (с сохранением записи в архивной части на установленный срок);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уведомление работников Компании, использовавших услуги поставщика, о порядке перехода на альтернативное решение.</w:t>
      </w:r>
    </w:p>
    <w:p>
      <w:pPr>
        <w:pStyle w:val="Heading1"/>
      </w:pPr>
      <w:r>
        <w:t xml:space="preserve">11. Ответственное лицо</w:t>
      </w:r>
    </w:p>
    <w:p>
      <w:pPr>
        <w:spacing w:after="120"/>
        <w:jc w:val="both"/>
      </w:pPr>
      <w:r>
        <w:t xml:space="preserve">Ответственным за выполнение настоящей Политики, ведение реестра TPSP и мониторинг соответствия поставщиков является ответственный за информационную безопасность Компании. До назначения отдельного сотрудника функции исполняет директор Компании.</w:t>
      </w:r>
    </w:p>
    <w:p>
      <w:pPr>
        <w:pStyle w:val="Heading1"/>
      </w:pPr>
      <w:r>
        <w:t xml:space="preserve">12. Пересмотр Политики</w:t>
      </w:r>
    </w:p>
    <w:p>
      <w:pPr>
        <w:spacing w:after="120"/>
        <w:jc w:val="both"/>
      </w:pPr>
      <w:r>
        <w:t xml:space="preserve">Настоящая Политика пересматривается не реже одного раза в 12 месяцев, а также при существенных изменениях состава поставщиков услуг, изменениях бизнес-модели Компании, изменениях нормативно-правовой базы или стандартов (PCI DSS).</w:t>
      </w:r>
    </w:p>
    <w:p>
      <w:pPr>
        <w:pStyle w:val="Heading1"/>
      </w:pPr>
      <w:r>
        <w:t xml:space="preserve">13. Сведения о документе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3026"/>
        <w:gridCol w:w="2500"/>
      </w:tblGrid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Версия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Дата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Изменения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Утвердил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1.0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15.05.2026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Первичное утверждение документа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Жумамуратов Р.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Утверждение документа</w:t>
      </w:r>
    </w:p>
    <w:p>
      <w:r>
        <w:t xml:space="preserve"/>
      </w:r>
    </w:p>
    <w:p>
      <w:pPr>
        <w:spacing w:after="120"/>
        <w:jc w:val="both"/>
      </w:pPr>
      <w:r>
        <w:t xml:space="preserve">Настоящий документ утверждён директором ООО «SELLAI» (SELLAI LLC) и вступает в силу с даты подписания. Документ подлежит обязательному ознакомлению всем персоналом, подрядчиками и иными лицами, имеющими доступ к информационным активам ООО «SELLAI».</w:t>
      </w:r>
    </w:p>
    <w:p>
      <w:r>
        <w:t xml:space="preserve"/>
      </w:r>
    </w:p>
    <w:p>
      <w:r>
        <w:t xml:space="preserve"/>
      </w:r>
    </w:p>
    <w:p>
      <w:pPr>
        <w:spacing w:after="120"/>
        <w:jc w:val="both"/>
      </w:pPr>
      <w:r>
        <w:t xml:space="preserve">Директор ООО «SELLAI»:</w:t>
      </w:r>
    </w:p>
    <w:p>
      <w:r>
        <w:t xml:space="preserve"/>
      </w:r>
    </w:p>
    <w:p>
      <w:pPr>
        <w:spacing w:after="120"/>
        <w:jc w:val="both"/>
      </w:pPr>
      <w:r>
        <w:rPr>
          <w:b w:val="false"/>
          <w:bCs w:val="false"/>
        </w:rPr>
        <w:t xml:space="preserve">_________________________  /  </w:t>
      </w:r>
      <w:r>
        <w:rPr>
          <w:b/>
          <w:bCs/>
        </w:rPr>
        <w:t xml:space="preserve">Жумамуратов Р.</w:t>
      </w:r>
    </w:p>
    <w:p>
      <w:pPr>
        <w:spacing w:after="120"/>
        <w:jc w:val="both"/>
      </w:pPr>
      <w:r>
        <w:t xml:space="preserve">                              (подпись)                              (расшифровка)</w:t>
      </w:r>
    </w:p>
    <w:p>
      <w:r>
        <w:t xml:space="preserve"/>
      </w:r>
    </w:p>
    <w:p>
      <w:pPr>
        <w:spacing w:after="120"/>
        <w:jc w:val="both"/>
      </w:pPr>
      <w:r>
        <w:t xml:space="preserve">Дата: «_____» _____________ 2026 г.</w:t>
      </w:r>
    </w:p>
    <w:p>
      <w:r>
        <w:t xml:space="preserve"/>
      </w:r>
    </w:p>
    <w:p>
      <w:pPr>
        <w:spacing w:after="120"/>
        <w:jc w:val="both"/>
      </w:pPr>
      <w:r>
        <w:t xml:space="preserve">М.П.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F2E4A" w:sz="6" w:space="6"/>
      </w:pBdr>
      <w:jc w:val="center"/>
    </w:pPr>
    <w:r>
      <w:rPr>
        <w:color w:val="606060"/>
        <w:sz w:val="18"/>
        <w:szCs w:val="18"/>
      </w:rPr>
      <w:t xml:space="preserve">ООО «SELLAI» (SELLAI LLC) — ИНН 312530703 — safelaw.ai — Конфиденциально</w:t>
    </w:r>
  </w:p>
  <w:p>
    <w:pPr>
      <w:jc w:val="center"/>
    </w:pPr>
    <w:r>
      <w:rPr>
        <w:color w:val="606060"/>
        <w:sz w:val="18"/>
        <w:szCs w:val="18"/>
      </w:rPr>
      <w:t xml:space="preserve">Страница </w:t>
    </w:r>
    <w:r>
      <w:rPr>
        <w:color w:val="60606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06060"/>
        <w:sz w:val="18"/>
        <w:szCs w:val="18"/>
      </w:rPr>
      <w:t xml:space="preserve"> из </w:t>
    </w:r>
    <w:r>
      <w:rPr>
        <w:color w:val="60606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F2E4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0F2E4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1A1A1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2026-05-15T14:08:14.244Z</dcterms:created>
  <dcterms:modified xsi:type="dcterms:W3CDTF">2026-05-15T14:08:14.244Z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