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40" w:before="2400"/>
        <w:jc w:val="center"/>
      </w:pPr>
      <w:r>
        <w:rPr>
          <w:b/>
          <w:bCs/>
          <w:color w:val="0F2E4A"/>
          <w:sz w:val="32"/>
          <w:szCs w:val="32"/>
        </w:rPr>
        <w:t xml:space="preserve">ООО «SELLAI» (SELLAI LLC)</w:t>
      </w:r>
    </w:p>
    <w:p>
      <w:pPr>
        <w:spacing w:after="120"/>
        <w:jc w:val="center"/>
      </w:pPr>
      <w:r>
        <w:rPr>
          <w:color w:val="1A1A1A"/>
          <w:sz w:val="24"/>
          <w:szCs w:val="24"/>
        </w:rPr>
        <w:t xml:space="preserve">Сервис SafeLaw (safelaw.ai)</w:t>
      </w:r>
    </w:p>
    <w:p>
      <w:pPr>
        <w:spacing w:after="2400"/>
        <w:jc w:val="center"/>
      </w:pPr>
      <w:r>
        <w:rPr>
          <w:color w:val="606060"/>
          <w:sz w:val="20"/>
          <w:szCs w:val="20"/>
        </w:rPr>
        <w:t xml:space="preserve">ИНН 312530703, г. Нукус, Республика Каракалпакстан, Узбекистан</w:t>
      </w:r>
    </w:p>
    <w:p>
      <w:pPr>
        <w:spacing w:after="240"/>
        <w:jc w:val="center"/>
      </w:pPr>
      <w:r>
        <w:rPr>
          <w:b/>
          <w:bCs/>
          <w:color w:val="0F2E4A"/>
          <w:sz w:val="44"/>
          <w:szCs w:val="44"/>
        </w:rPr>
        <w:t xml:space="preserve">ПЛАН РЕАГИРОВАНИЯ НА ИНЦИДЕНТЫ ИНФОРМАЦИОННОЙ БЕЗОПАСНОСТИ</w:t>
      </w:r>
    </w:p>
    <w:p>
      <w:pPr>
        <w:spacing w:after="2400"/>
        <w:jc w:val="center"/>
      </w:pPr>
      <w:r>
        <w:rPr>
          <w:color w:val="606060"/>
          <w:sz w:val="22"/>
          <w:szCs w:val="22"/>
        </w:rPr>
        <w:t xml:space="preserve">Документ IRP-01</w:t>
      </w:r>
    </w:p>
    <w:p>
      <w:pPr>
        <w:jc w:val="center"/>
      </w:pPr>
      <w:r>
        <w:rPr>
          <w:sz w:val="22"/>
          <w:szCs w:val="22"/>
        </w:rPr>
        <w:t xml:space="preserve">Версия 1.0</w:t>
      </w:r>
    </w:p>
    <w:p>
      <w:pPr>
        <w:spacing w:after="120"/>
        <w:jc w:val="center"/>
      </w:pPr>
      <w:r>
        <w:rPr>
          <w:sz w:val="22"/>
          <w:szCs w:val="22"/>
        </w:rPr>
        <w:t xml:space="preserve">Дата ввода в действие: 15 мая 2026 г.</w:t>
      </w:r>
    </w:p>
    <w:p>
      <w:pPr>
        <w:spacing w:after="120"/>
        <w:jc w:val="center"/>
      </w:pPr>
      <w:r>
        <w:rPr>
          <w:i/>
          <w:iCs/>
          <w:color w:val="606060"/>
          <w:sz w:val="22"/>
          <w:szCs w:val="22"/>
        </w:rPr>
        <w:t xml:space="preserve">Соответствие: PCI DSS v4.0.1, SAQ A</w:t>
      </w:r>
    </w:p>
    <w:p>
      <w:r>
        <w:br w:type="page"/>
      </w:r>
    </w:p>
    <w:p>
      <w:pPr>
        <w:pStyle w:val="Heading1"/>
      </w:pPr>
      <w:r>
        <w:t xml:space="preserve">1. Назначение</w:t>
      </w:r>
    </w:p>
    <w:p>
      <w:pPr>
        <w:spacing w:after="120"/>
        <w:jc w:val="both"/>
      </w:pPr>
      <w:r>
        <w:t xml:space="preserve">Настоящий План реагирования на инциденты информационной безопасности (далее — План) устанавливает порядок действий ООО «SELLAI» (далее — Компания) при выявлении инцидентов информационной безопасности, в том числе инцидентов, затрагивающих платёжные данные, обрабатываемые в рамках сервиса SafeLaw (safelaw.ai). План разработан в соответствии с требованиями PCI DSS v4.0.1 (Требование 12.10).</w:t>
      </w:r>
    </w:p>
    <w:p>
      <w:pPr>
        <w:spacing w:after="120"/>
        <w:jc w:val="both"/>
      </w:pPr>
      <w:r>
        <w:t xml:space="preserve">Цели Плана: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обеспечение быстрого и эффективного реагирования на инциденты информационной безопасности;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минимизация ущерба и предотвращение распространения последствий инцидента;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своевременное информирование заинтересованных сторон (банка-эквайера, платёжных систем, регуляторов, пользователей);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восстановление нормальной работы информационных систем;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извлечение уроков и совершенствование мер защиты по результатам инцидента.</w:t>
      </w:r>
    </w:p>
    <w:p>
      <w:pPr>
        <w:pStyle w:val="Heading1"/>
      </w:pPr>
      <w:r>
        <w:t xml:space="preserve">2. Область применения</w:t>
      </w:r>
    </w:p>
    <w:p>
      <w:pPr>
        <w:spacing w:after="120"/>
        <w:jc w:val="both"/>
      </w:pPr>
      <w:r>
        <w:t xml:space="preserve">План применяется ко всем инцидентам информационной безопасности, затрагивающим: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информационные системы Компании;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данные пользователей сервиса SafeLaw;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инфраструктуру, обеспечивающую работу платёжных операций;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деловую репутацию Компании.</w:t>
      </w:r>
    </w:p>
    <w:p>
      <w:pPr>
        <w:spacing w:after="120"/>
        <w:jc w:val="both"/>
      </w:pPr>
      <w:r>
        <w:t xml:space="preserve">План обязателен для исполнения всеми работниками и подрядчиками Компании.</w:t>
      </w:r>
    </w:p>
    <w:p>
      <w:pPr>
        <w:pStyle w:val="Heading1"/>
      </w:pPr>
      <w:r>
        <w:t xml:space="preserve">3. Определения</w:t>
      </w:r>
    </w:p>
    <w:p>
      <w:pPr>
        <w:spacing w:after="120"/>
        <w:jc w:val="both"/>
      </w:pPr>
      <w:r>
        <w:rPr>
          <w:b/>
          <w:bCs/>
        </w:rPr>
        <w:t xml:space="preserve">Событие информационной безопасности</w:t>
      </w:r>
      <w:r>
        <w:t xml:space="preserve"> — выявленное состояние системы, сервиса или сети, указывающее на возможное нарушение информационной безопасности.</w:t>
      </w:r>
    </w:p>
    <w:p>
      <w:pPr>
        <w:spacing w:after="120"/>
        <w:jc w:val="both"/>
      </w:pPr>
      <w:r>
        <w:rPr>
          <w:b/>
          <w:bCs/>
        </w:rPr>
        <w:t xml:space="preserve">Инцидент информационной безопасности</w:t>
      </w:r>
      <w:r>
        <w:t xml:space="preserve"> — одно или несколько нежелательных или непредвиденных событий информационной безопасности, которые имеют значительную вероятность нарушения деловой деятельности и угрожают информационной безопасности.</w:t>
      </w:r>
    </w:p>
    <w:p>
      <w:pPr>
        <w:spacing w:after="120"/>
        <w:jc w:val="both"/>
      </w:pPr>
      <w:r>
        <w:rPr>
          <w:b/>
          <w:bCs/>
        </w:rPr>
        <w:t xml:space="preserve">Компрометация данных</w:t>
      </w:r>
      <w:r>
        <w:t xml:space="preserve"> — фактический или подозреваемый несанкционированный доступ, раскрытие, изменение или уничтожение данных.</w:t>
      </w:r>
    </w:p>
    <w:p>
      <w:pPr>
        <w:spacing w:after="120"/>
        <w:jc w:val="both"/>
      </w:pPr>
      <w:r>
        <w:rPr>
          <w:b/>
          <w:bCs/>
        </w:rPr>
        <w:t xml:space="preserve">Команда реагирования (IRT — Incident Response Team)</w:t>
      </w:r>
      <w:r>
        <w:t xml:space="preserve"> — группа лиц, ответственная за реагирование на инциденты информационной безопасности.</w:t>
      </w:r>
    </w:p>
    <w:p>
      <w:pPr>
        <w:pStyle w:val="Heading1"/>
      </w:pPr>
      <w:r>
        <w:t xml:space="preserve">4. Классификация инцидентов</w:t>
      </w:r>
    </w:p>
    <w:p>
      <w:pPr>
        <w:spacing w:after="120"/>
        <w:jc w:val="both"/>
      </w:pPr>
      <w:r>
        <w:t xml:space="preserve">Инциденты классифицируются по уровню критичности: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2500"/>
        <w:gridCol w:w="5026"/>
      </w:tblGrid>
      <w:tr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FECE4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</w:rPr>
              <w:t xml:space="preserve">Уровень</w:t>
            </w:r>
          </w:p>
        </w:tc>
        <w:tc>
          <w:tcPr>
            <w:tcW w:type="dxa" w:w="2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FECE4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</w:rPr>
              <w:t xml:space="preserve">Название</w:t>
            </w:r>
          </w:p>
        </w:tc>
        <w:tc>
          <w:tcPr>
            <w:tcW w:type="dxa" w:w="50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FECE4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</w:rPr>
              <w:t xml:space="preserve">Описание</w:t>
            </w:r>
          </w:p>
        </w:tc>
      </w:tr>
      <w:tr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P1</w:t>
            </w:r>
          </w:p>
        </w:tc>
        <w:tc>
          <w:tcPr>
            <w:tcW w:type="dxa" w:w="2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Критический</w:t>
            </w:r>
          </w:p>
        </w:tc>
        <w:tc>
          <w:tcPr>
            <w:tcW w:type="dxa" w:w="50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Компрометация данных платёжных карт; компрометация учётных записей с административными привилегиями; масштабное нарушение доступности сервиса (&gt;4 часов); подозрение на наличие вредоносного ПО в производственной инфраструктуре.</w:t>
            </w:r>
          </w:p>
        </w:tc>
      </w:tr>
      <w:tr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P2</w:t>
            </w:r>
          </w:p>
        </w:tc>
        <w:tc>
          <w:tcPr>
            <w:tcW w:type="dxa" w:w="2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Высокий</w:t>
            </w:r>
          </w:p>
        </w:tc>
        <w:tc>
          <w:tcPr>
            <w:tcW w:type="dxa" w:w="50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Утечка персональных данных пользователей; компрометация учётных записей пользователей сервиса; целенаправленные атаки (фишинг руководства, попытки взлома); серьёзные уязвимости публичных сервисов.</w:t>
            </w:r>
          </w:p>
        </w:tc>
      </w:tr>
      <w:tr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P3</w:t>
            </w:r>
          </w:p>
        </w:tc>
        <w:tc>
          <w:tcPr>
            <w:tcW w:type="dxa" w:w="2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Средний</w:t>
            </w:r>
          </w:p>
        </w:tc>
        <w:tc>
          <w:tcPr>
            <w:tcW w:type="dxa" w:w="50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Подозрительная активность, не приведшая к компрометации; единичные случаи фишинга; неавторизованные попытки входа в учётные записи без последствий.</w:t>
            </w:r>
          </w:p>
        </w:tc>
      </w:tr>
      <w:tr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P4</w:t>
            </w:r>
          </w:p>
        </w:tc>
        <w:tc>
          <w:tcPr>
            <w:tcW w:type="dxa" w:w="2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Низкий</w:t>
            </w:r>
          </w:p>
        </w:tc>
        <w:tc>
          <w:tcPr>
            <w:tcW w:type="dxa" w:w="50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Нарушения политик информационной безопасности без существенных последствий; технические сбои без признаков атаки.</w:t>
            </w:r>
          </w:p>
        </w:tc>
      </w:tr>
    </w:tbl>
    <w:p>
      <w:r>
        <w:t xml:space="preserve"/>
      </w:r>
    </w:p>
    <w:p>
      <w:pPr>
        <w:pStyle w:val="Heading1"/>
      </w:pPr>
      <w:r>
        <w:t xml:space="preserve">5. Примеры типов инцидентов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несанкционированный доступ к серверам, базам данных или административным панелям;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компрометация учётной записи (раскрытие пароля, кража токена);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вредоносное программное обеспечение на устройствах или серверах;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утечка персональных данных или иной конфиденциальной информации;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подозрение на компрометацию данных платёжных карт пользователей;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DDoS-атаки и нарушение доступности сервиса;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фишинговые атаки на работников или пользователей;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обнаружение в исходном коде или конфигурациях ключей, паролей, учётных данных;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обнаружение вмешательства в платёжные страницы (несанкционированный JavaScript, изменения форм);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инциденты у поставщиков услуг (TPSP), затрагивающие инфраструктуру Компании.</w:t>
      </w:r>
    </w:p>
    <w:p>
      <w:pPr>
        <w:pStyle w:val="Heading1"/>
      </w:pPr>
      <w:r>
        <w:t xml:space="preserve">6. Команда реагирования</w:t>
      </w:r>
    </w:p>
    <w:p>
      <w:pPr>
        <w:spacing w:after="120"/>
        <w:jc w:val="both"/>
      </w:pPr>
      <w:r>
        <w:t xml:space="preserve">Команда реагирования (IRT) формируется на постоянной основе. Состав команды: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3026"/>
        <w:gridCol w:w="3000"/>
      </w:tblGrid>
      <w:tr>
        <w:tc>
          <w:tcPr>
            <w:tcW w:type="dxa" w:w="3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FECE4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</w:rPr>
              <w:t xml:space="preserve">Роль</w:t>
            </w:r>
          </w:p>
        </w:tc>
        <w:tc>
          <w:tcPr>
            <w:tcW w:type="dxa" w:w="30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FECE4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</w:rPr>
              <w:t xml:space="preserve">Обязанности</w:t>
            </w:r>
          </w:p>
        </w:tc>
        <w:tc>
          <w:tcPr>
            <w:tcW w:type="dxa" w:w="3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FECE4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</w:rPr>
              <w:t xml:space="preserve">Назначен</w:t>
            </w:r>
          </w:p>
        </w:tc>
      </w:tr>
      <w:tr>
        <w:tc>
          <w:tcPr>
            <w:tcW w:type="dxa" w:w="3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Руководитель команды реагирования</w:t>
            </w:r>
          </w:p>
        </w:tc>
        <w:tc>
          <w:tcPr>
            <w:tcW w:type="dxa" w:w="30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Общая координация реагирования; принятие решений; коммуникация с руководством; уведомление внешних сторон.</w:t>
            </w:r>
          </w:p>
        </w:tc>
        <w:tc>
          <w:tcPr>
            <w:tcW w:type="dxa" w:w="3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Директор Компании (Жумамуратов Р.)</w:t>
            </w:r>
          </w:p>
        </w:tc>
      </w:tr>
      <w:tr>
        <w:tc>
          <w:tcPr>
            <w:tcW w:type="dxa" w:w="3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Ответственный за информационную безопасность</w:t>
            </w:r>
          </w:p>
        </w:tc>
        <w:tc>
          <w:tcPr>
            <w:tcW w:type="dxa" w:w="30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Технический анализ инцидента; локализация и устранение угрозы; ведение журнала инцидента.</w:t>
            </w:r>
          </w:p>
        </w:tc>
        <w:tc>
          <w:tcPr>
            <w:tcW w:type="dxa" w:w="3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Назначается приказом директора (до отдельного назначения — функции исполняет директор)</w:t>
            </w:r>
          </w:p>
        </w:tc>
      </w:tr>
      <w:tr>
        <w:tc>
          <w:tcPr>
            <w:tcW w:type="dxa" w:w="3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Технический специалист</w:t>
            </w:r>
          </w:p>
        </w:tc>
        <w:tc>
          <w:tcPr>
            <w:tcW w:type="dxa" w:w="30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Работа с инфраструктурой, серверами, базами данных, сетью; восстановление систем.</w:t>
            </w:r>
          </w:p>
        </w:tc>
        <w:tc>
          <w:tcPr>
            <w:tcW w:type="dxa" w:w="3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Назначается на основании специфики инцидента</w:t>
            </w:r>
          </w:p>
        </w:tc>
      </w:tr>
      <w:tr>
        <w:tc>
          <w:tcPr>
            <w:tcW w:type="dxa" w:w="3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Юридический представитель</w:t>
            </w:r>
          </w:p>
        </w:tc>
        <w:tc>
          <w:tcPr>
            <w:tcW w:type="dxa" w:w="30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Оценка правовых последствий, взаимодействие с регуляторами, подготовка уведомлений.</w:t>
            </w:r>
          </w:p>
        </w:tc>
        <w:tc>
          <w:tcPr>
            <w:tcW w:type="dxa" w:w="3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Назначается на основании специфики инцидента (привлекается внешний консультант при необходимости)</w:t>
            </w:r>
          </w:p>
        </w:tc>
      </w:tr>
    </w:tbl>
    <w:p>
      <w:r>
        <w:t xml:space="preserve"/>
      </w:r>
    </w:p>
    <w:p>
      <w:pPr>
        <w:spacing w:after="120"/>
        <w:jc w:val="both"/>
      </w:pPr>
      <w:r>
        <w:t xml:space="preserve">Контактная информация команды (внутренние данные):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Внутренняя «горячая линия» по инцидентам: security@safelaw.ai;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Прямая связь с директором: +998 90 590 59 00;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Альтернативный канал связи: внутренний мессенджер Компании.</w:t>
      </w:r>
    </w:p>
    <w:p>
      <w:pPr>
        <w:spacing w:after="120"/>
        <w:jc w:val="both"/>
      </w:pPr>
      <w:r>
        <w:t xml:space="preserve">Команда реагирования работает в режиме 24/7. Ответственные лица обеспечивают доступность по указанным каналам круглосуточно либо назначают замещающих лиц на период отсутствия.</w:t>
      </w:r>
    </w:p>
    <w:p>
      <w:pPr>
        <w:pStyle w:val="Heading1"/>
      </w:pPr>
      <w:r>
        <w:t xml:space="preserve">7. Этапы реагирования на инцидент</w:t>
      </w:r>
    </w:p>
    <w:p>
      <w:pPr>
        <w:pStyle w:val="Heading2"/>
      </w:pPr>
      <w:r>
        <w:t xml:space="preserve">7.1. Подготовка</w:t>
      </w:r>
    </w:p>
    <w:p>
      <w:pPr>
        <w:spacing w:after="120"/>
        <w:jc w:val="both"/>
      </w:pPr>
      <w:r>
        <w:t xml:space="preserve">Этап подготовки осуществляется на постоянной основе и включает: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поддержание актуальности настоящего Плана;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проведение обучения работников и членов команды реагирования;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обеспечение технических средств для мониторинга, журналирования и реагирования;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ведение реестра контактов внешних сторон (банк-эквайер, поставщики услуг, юридические консультанты);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тестирование Плана не реже одного раза в 12 месяцев.</w:t>
      </w:r>
    </w:p>
    <w:p>
      <w:pPr>
        <w:pStyle w:val="Heading2"/>
      </w:pPr>
      <w:r>
        <w:t xml:space="preserve">7.2. Обнаружение и анализ</w:t>
      </w:r>
    </w:p>
    <w:p>
      <w:pPr>
        <w:spacing w:after="120"/>
        <w:jc w:val="both"/>
      </w:pPr>
      <w:r>
        <w:t xml:space="preserve">Источники обнаружения инцидентов: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сообщения работников и пользователей;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системы мониторинга, журналирования, антивирусные системы, WAF Cloudflare;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уведомления от поставщиков услуг (банк-эквайер, хостинг-провайдер);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уведомления от платёжных систем и регуляторов;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публикации в средствах массовой информации и базах данных уязвимостей.</w:t>
      </w:r>
    </w:p>
    <w:p>
      <w:pPr>
        <w:spacing w:after="120"/>
        <w:jc w:val="both"/>
      </w:pPr>
      <w:r>
        <w:t xml:space="preserve">Действия на этапе обнаружения и анализа:</w:t>
      </w:r>
    </w:p>
    <w:p>
      <w:pPr>
        <w:pStyle w:val="ListParagraph"/>
        <w:numPr>
          <w:ilvl w:val="0"/>
          <w:numId w:val="3"/>
        </w:numPr>
        <w:spacing w:after="80"/>
        <w:jc w:val="both"/>
      </w:pPr>
      <w:r>
        <w:t xml:space="preserve">Лицо, обнаружившее событие, незамедлительно (в течение 30 минут с момента обнаружения) сообщает в команду реагирования по адресу security@safelaw.ai.</w:t>
      </w:r>
    </w:p>
    <w:p>
      <w:pPr>
        <w:pStyle w:val="ListParagraph"/>
        <w:numPr>
          <w:ilvl w:val="0"/>
          <w:numId w:val="3"/>
        </w:numPr>
        <w:spacing w:after="80"/>
        <w:jc w:val="both"/>
      </w:pPr>
      <w:r>
        <w:t xml:space="preserve">Ответственный за информационную безопасность открывает запись об инциденте в журнале инцидентов с указанием даты, времени, источника, описания, предварительной классификации.</w:t>
      </w:r>
    </w:p>
    <w:p>
      <w:pPr>
        <w:pStyle w:val="ListParagraph"/>
        <w:numPr>
          <w:ilvl w:val="0"/>
          <w:numId w:val="3"/>
        </w:numPr>
        <w:spacing w:after="80"/>
        <w:jc w:val="both"/>
      </w:pPr>
      <w:r>
        <w:t xml:space="preserve">Производится первичный анализ: подтверждение факта инцидента, оценка масштаба, классификация по уровню критичности.</w:t>
      </w:r>
    </w:p>
    <w:p>
      <w:pPr>
        <w:pStyle w:val="ListParagraph"/>
        <w:numPr>
          <w:ilvl w:val="0"/>
          <w:numId w:val="3"/>
        </w:numPr>
        <w:spacing w:after="80"/>
        <w:jc w:val="both"/>
      </w:pPr>
      <w:r>
        <w:t xml:space="preserve">Для инцидентов уровня P1 и P2 руководитель команды реагирования уведомляется в течение 1 часа с момента подтверждения инцидента.</w:t>
      </w:r>
    </w:p>
    <w:p>
      <w:pPr>
        <w:pStyle w:val="Heading2"/>
      </w:pPr>
      <w:r>
        <w:t xml:space="preserve">7.3. Сдерживание</w:t>
      </w:r>
    </w:p>
    <w:p>
      <w:pPr>
        <w:spacing w:after="120"/>
        <w:jc w:val="both"/>
      </w:pPr>
      <w:r>
        <w:t xml:space="preserve">Цель этапа — ограничить распространение инцидента и минимизировать ущерб. Действия: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изоляция скомпрометированных систем от сети (при необходимости);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блокировка скомпрометированных учётных записей;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ротация паролей, ключей API, токенов доступа;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включение дополнительных правил защиты в WAF Cloudflare;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в случае подозрения на компрометацию платёжных данных — приостановка соответствующих платёжных операций по согласованию с банком-эквайером.</w:t>
      </w:r>
    </w:p>
    <w:p>
      <w:pPr>
        <w:spacing w:after="120"/>
        <w:jc w:val="both"/>
      </w:pPr>
      <w:r>
        <w:t xml:space="preserve">На этапе сдерживания обязательно сохранение доказательств для последующего анализа: образы оперативной памяти, копии журналов, артефакты файловой системы.</w:t>
      </w:r>
    </w:p>
    <w:p>
      <w:pPr>
        <w:pStyle w:val="Heading2"/>
      </w:pPr>
      <w:r>
        <w:t xml:space="preserve">7.4. Устранение</w:t>
      </w:r>
    </w:p>
    <w:p>
      <w:pPr>
        <w:spacing w:after="120"/>
        <w:jc w:val="both"/>
      </w:pPr>
      <w:r>
        <w:t xml:space="preserve">Действия по устранению причин инцидента: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удаление вредоносного программного обеспечения;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устранение использованных злоумышленником уязвимостей (установка обновлений, изменение конфигурации);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укрепление средств защиты в затронутых системах;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при необходимости — переустановка скомпрометированных систем «с нуля».</w:t>
      </w:r>
    </w:p>
    <w:p>
      <w:pPr>
        <w:pStyle w:val="Heading2"/>
      </w:pPr>
      <w:r>
        <w:t xml:space="preserve">7.5. Восстановление</w:t>
      </w:r>
    </w:p>
    <w:p>
      <w:pPr>
        <w:spacing w:after="120"/>
        <w:jc w:val="both"/>
      </w:pPr>
      <w:r>
        <w:t xml:space="preserve">Действия по восстановлению нормальной работы: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восстановление систем из доверенных резервных копий или эталонных образов;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поэтапный возврат восстановленных систем в эксплуатацию с усиленным мониторингом;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проверка корректности работы систем и отсутствия признаков повторной компрометации;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уведомление пользователей и партнёров о восстановлении работы (при необходимости).</w:t>
      </w:r>
    </w:p>
    <w:p>
      <w:pPr>
        <w:pStyle w:val="Heading2"/>
      </w:pPr>
      <w:r>
        <w:t xml:space="preserve">7.6. Анализ результатов и извлечение уроков</w:t>
      </w:r>
    </w:p>
    <w:p>
      <w:pPr>
        <w:spacing w:after="120"/>
        <w:jc w:val="both"/>
      </w:pPr>
      <w:r>
        <w:t xml:space="preserve">В течение 10 рабочих дней после закрытия инцидента уровня P1 или P2 проводится постмортем-анализ с участием команды реагирования и руководства. Результаты оформляются документально и должны включать: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хронологию инцидента;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первопричину инцидента;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оценку эффективности реагирования;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выявленные пробелы в защите и Плане;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конкретные меры по предотвращению повторения, ответственные лица и сроки;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обновления Плана и связанных политик.</w:t>
      </w:r>
    </w:p>
    <w:p>
      <w:pPr>
        <w:pStyle w:val="Heading1"/>
      </w:pPr>
      <w:r>
        <w:t xml:space="preserve">8. Уведомление внешних сторон</w:t>
      </w:r>
    </w:p>
    <w:p>
      <w:pPr>
        <w:pStyle w:val="Heading2"/>
      </w:pPr>
      <w:r>
        <w:t xml:space="preserve">8.1. Уведомление банка-эквайера</w:t>
      </w:r>
    </w:p>
    <w:p>
      <w:pPr>
        <w:spacing w:after="120"/>
        <w:jc w:val="both"/>
      </w:pPr>
      <w:r>
        <w:t xml:space="preserve">При выявлении инцидентов уровня P1, связанных с потенциальной компрометацией данных платёжных карт, либо инцидентов, затрагивающих платёжные операции, Компания уведомляет банк-эквайер (АКБ «Ипак Йули») в течение 24 часов с момента подтверждения инцидента. Уведомление направляется по официальным каналам, согласованным договором об эквайринге, и должно содержать: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дату и время инцидента;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описание инцидента и его потенциального воздействия;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принятые меры сдерживания и устранения;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планируемые сроки устранения и восстановления;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контактное лицо со стороны Компании.</w:t>
      </w:r>
    </w:p>
    <w:p>
      <w:pPr>
        <w:pStyle w:val="Heading2"/>
      </w:pPr>
      <w:r>
        <w:t xml:space="preserve">8.2. Уведомление платёжных систем</w:t>
      </w:r>
    </w:p>
    <w:p>
      <w:pPr>
        <w:spacing w:after="120"/>
        <w:jc w:val="both"/>
      </w:pPr>
      <w:r>
        <w:t xml:space="preserve">При подтверждённой компрометации данных платёжных карт банк-эквайер совместно с Компанией уведомляет соответствующие платёжные системы (Visa, Mastercard, Uzcard, Humo) в порядке и сроки, установленные правилами платёжных систем.</w:t>
      </w:r>
    </w:p>
    <w:p>
      <w:pPr>
        <w:pStyle w:val="Heading2"/>
      </w:pPr>
      <w:r>
        <w:t xml:space="preserve">8.3. Уведомление регуляторов</w:t>
      </w:r>
    </w:p>
    <w:p>
      <w:pPr>
        <w:spacing w:after="120"/>
        <w:jc w:val="both"/>
      </w:pPr>
      <w:r>
        <w:t xml:space="preserve">При утечке персональных данных пользователей Компания уведомляет уполномоченный государственный орган в области персональных данных Республики Узбекистан в порядке и сроки, установленные Законом РУз № ЗРУ-547 «О персональных данных».</w:t>
      </w:r>
    </w:p>
    <w:p>
      <w:pPr>
        <w:pStyle w:val="Heading2"/>
      </w:pPr>
      <w:r>
        <w:t xml:space="preserve">8.4. Уведомление затронутых пользователей</w:t>
      </w:r>
    </w:p>
    <w:p>
      <w:pPr>
        <w:spacing w:after="120"/>
        <w:jc w:val="both"/>
      </w:pPr>
      <w:r>
        <w:t xml:space="preserve">При утечке персональных данных, затрагивающей пользователей сервиса SafeLaw, Компания направляет уведомление затронутым пользователям не позднее 72 часов с момента подтверждения утечки. Уведомление должно содержать: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описание характера утечки;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категории и приблизительный объём затронутых данных;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вероятные последствия для пользователя;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меры, принятые Компанией для устранения утечки;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рекомендации пользователю по защите его учётной записи;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контактные данные для обращений (privacy@safelaw.ai).</w:t>
      </w:r>
    </w:p>
    <w:p>
      <w:pPr>
        <w:pStyle w:val="Heading2"/>
      </w:pPr>
      <w:r>
        <w:t xml:space="preserve">8.5. Уведомление поставщиков услуг</w:t>
      </w:r>
    </w:p>
    <w:p>
      <w:pPr>
        <w:spacing w:after="120"/>
        <w:jc w:val="both"/>
      </w:pPr>
      <w:r>
        <w:t xml:space="preserve">При инцидентах, затрагивающих или потенциально затрагивающих инфраструктуру поставщиков услуг (Cloudflare, Netcup, Google Workspace, провайдеры AI и др.), Компания уведомляет соответствующих поставщиков в установленные ими сроки.</w:t>
      </w:r>
    </w:p>
    <w:p>
      <w:pPr>
        <w:pStyle w:val="Heading1"/>
      </w:pPr>
      <w:r>
        <w:t xml:space="preserve">9. Журнал инцидентов</w:t>
      </w:r>
    </w:p>
    <w:p>
      <w:pPr>
        <w:spacing w:after="120"/>
        <w:jc w:val="both"/>
      </w:pPr>
      <w:r>
        <w:t xml:space="preserve">Все события и инциденты информационной безопасности фиксируются в журнале инцидентов. По каждому инциденту фиксируются следующие сведения: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уникальный идентификатор инцидента;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дата и время выявления, дата и время начала инцидента (если известно);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источник обнаружения;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уровень критичности;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описание инцидента;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затронутые системы, данные, пользователи;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предпринятые действия с указанием дат, времени и ответственных лиц;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уведомлённые внешние стороны (с указанием даты и канала уведомления);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результаты постмортем-анализа и принятые меры по предотвращению повторения;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дата закрытия инцидента.</w:t>
      </w:r>
    </w:p>
    <w:p>
      <w:pPr>
        <w:spacing w:after="120"/>
        <w:jc w:val="both"/>
      </w:pPr>
      <w:r>
        <w:t xml:space="preserve">Журнал инцидентов хранится не менее 3 лет с момента закрытия инцидента.</w:t>
      </w:r>
    </w:p>
    <w:p>
      <w:pPr>
        <w:pStyle w:val="Heading1"/>
      </w:pPr>
      <w:r>
        <w:t xml:space="preserve">10. Тестирование Плана</w:t>
      </w:r>
    </w:p>
    <w:p>
      <w:pPr>
        <w:spacing w:after="120"/>
        <w:jc w:val="both"/>
      </w:pPr>
      <w:r>
        <w:t xml:space="preserve">План реагирования проходит тестирование не реже одного раза в 12 месяцев. Формы тестирования: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настольные учения (tabletop exercises) — обсуждение действий команды по гипотетическим сценариям;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учебные тревоги — проверка доступности членов команды по каналам уведомления;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полное симулированное реагирование на инцидент.</w:t>
      </w:r>
    </w:p>
    <w:p>
      <w:pPr>
        <w:spacing w:after="120"/>
        <w:jc w:val="both"/>
      </w:pPr>
      <w:r>
        <w:t xml:space="preserve">По результатам тестирования составляется протокол, выявленные недостатки устраняются, План при необходимости обновляется.</w:t>
      </w:r>
    </w:p>
    <w:p>
      <w:pPr>
        <w:pStyle w:val="Heading1"/>
      </w:pPr>
      <w:r>
        <w:t xml:space="preserve">11. Обучение</w:t>
      </w:r>
    </w:p>
    <w:p>
      <w:pPr>
        <w:spacing w:after="120"/>
        <w:jc w:val="both"/>
      </w:pPr>
      <w:r>
        <w:t xml:space="preserve">Члены команды реагирования проходят обучение действиям в соответствии с настоящим Планом не реже одного раза в 12 месяцев. Все работники Компании проходят инструктаж по порядку сообщения о подозрительной активности и инцидентах при приёме на работу и далее ежегодно.</w:t>
      </w:r>
    </w:p>
    <w:p>
      <w:pPr>
        <w:pStyle w:val="Heading1"/>
      </w:pPr>
      <w:r>
        <w:t xml:space="preserve">12. Пересмотр Плана</w:t>
      </w:r>
    </w:p>
    <w:p>
      <w:pPr>
        <w:spacing w:after="120"/>
        <w:jc w:val="both"/>
      </w:pPr>
      <w:r>
        <w:t xml:space="preserve">Настоящий План пересматривается не реже одного раза в 12 месяцев, а также: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после каждого инцидента уровня P1 или P2;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при существенных изменениях информационной инфраструктуры Компании;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при изменении состава ключевых поставщиков услуг (TPSP);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при изменении нормативных требований или стандартов (PCI DSS, законодательство РУз).</w:t>
      </w:r>
    </w:p>
    <w:p>
      <w:pPr>
        <w:pStyle w:val="Heading1"/>
      </w:pPr>
      <w:r>
        <w:t xml:space="preserve">13. Сведения о документе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2000"/>
        <w:gridCol w:w="3026"/>
        <w:gridCol w:w="2500"/>
      </w:tblGrid>
      <w:tr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FECE4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</w:rPr>
              <w:t xml:space="preserve">Версия</w:t>
            </w:r>
          </w:p>
        </w:tc>
        <w:tc>
          <w:tcPr>
            <w:tcW w:type="dxa" w:w="2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FECE4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</w:rPr>
              <w:t xml:space="preserve">Дата</w:t>
            </w:r>
          </w:p>
        </w:tc>
        <w:tc>
          <w:tcPr>
            <w:tcW w:type="dxa" w:w="30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FECE4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</w:rPr>
              <w:t xml:space="preserve">Изменения</w:t>
            </w:r>
          </w:p>
        </w:tc>
        <w:tc>
          <w:tcPr>
            <w:tcW w:type="dxa" w:w="2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FECE4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</w:rPr>
              <w:t xml:space="preserve">Утвердил</w:t>
            </w:r>
          </w:p>
        </w:tc>
      </w:tr>
      <w:tr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1.0</w:t>
            </w:r>
          </w:p>
        </w:tc>
        <w:tc>
          <w:tcPr>
            <w:tcW w:type="dxa" w:w="2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15.05.2026</w:t>
            </w:r>
          </w:p>
        </w:tc>
        <w:tc>
          <w:tcPr>
            <w:tcW w:type="dxa" w:w="30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Первичное утверждение документа</w:t>
            </w:r>
          </w:p>
        </w:tc>
        <w:tc>
          <w:tcPr>
            <w:tcW w:type="dxa" w:w="2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Жумамуратов Р.</w:t>
            </w:r>
          </w:p>
        </w:tc>
      </w:tr>
    </w:tbl>
    <w:p>
      <w:r>
        <w:t xml:space="preserve"/>
      </w:r>
    </w:p>
    <w:p>
      <w:pPr>
        <w:pStyle w:val="Heading2"/>
      </w:pPr>
      <w:r>
        <w:t xml:space="preserve">Утверждение документа</w:t>
      </w:r>
    </w:p>
    <w:p>
      <w:r>
        <w:t xml:space="preserve"/>
      </w:r>
    </w:p>
    <w:p>
      <w:pPr>
        <w:spacing w:after="120"/>
        <w:jc w:val="both"/>
      </w:pPr>
      <w:r>
        <w:t xml:space="preserve">Настоящий документ утверждён директором ООО «SELLAI» (SELLAI LLC) и вступает в силу с даты подписания. Документ подлежит обязательному ознакомлению всем персоналом, подрядчиками и иными лицами, имеющими доступ к информационным активам ООО «SELLAI».</w:t>
      </w:r>
    </w:p>
    <w:p>
      <w:r>
        <w:t xml:space="preserve"/>
      </w:r>
    </w:p>
    <w:p>
      <w:r>
        <w:t xml:space="preserve"/>
      </w:r>
    </w:p>
    <w:p>
      <w:pPr>
        <w:spacing w:after="120"/>
        <w:jc w:val="both"/>
      </w:pPr>
      <w:r>
        <w:t xml:space="preserve">Директор ООО «SELLAI»:</w:t>
      </w:r>
    </w:p>
    <w:p>
      <w:r>
        <w:t xml:space="preserve"/>
      </w:r>
    </w:p>
    <w:p>
      <w:pPr>
        <w:spacing w:after="120"/>
        <w:jc w:val="both"/>
      </w:pPr>
      <w:r>
        <w:rPr>
          <w:b w:val="false"/>
          <w:bCs w:val="false"/>
        </w:rPr>
        <w:t xml:space="preserve">_________________________  /  </w:t>
      </w:r>
      <w:r>
        <w:rPr>
          <w:b/>
          <w:bCs/>
        </w:rPr>
        <w:t xml:space="preserve">Жумамуратов Р.</w:t>
      </w:r>
    </w:p>
    <w:p>
      <w:pPr>
        <w:spacing w:after="120"/>
        <w:jc w:val="both"/>
      </w:pPr>
      <w:r>
        <w:t xml:space="preserve">                              (подпись)                              (расшифровка)</w:t>
      </w:r>
    </w:p>
    <w:p>
      <w:r>
        <w:t xml:space="preserve"/>
      </w:r>
    </w:p>
    <w:p>
      <w:pPr>
        <w:spacing w:after="120"/>
        <w:jc w:val="both"/>
      </w:pPr>
      <w:r>
        <w:t xml:space="preserve">Дата: «_____» _____________ 2026 г.</w:t>
      </w:r>
    </w:p>
    <w:p>
      <w:r>
        <w:t xml:space="preserve"/>
      </w:r>
    </w:p>
    <w:p>
      <w:pPr>
        <w:spacing w:after="120"/>
        <w:jc w:val="both"/>
      </w:pPr>
      <w:r>
        <w:t xml:space="preserve">М.П.</w:t>
      </w:r>
    </w:p>
    <w:sectPr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F2E4A" w:sz="6" w:space="6"/>
      </w:pBdr>
      <w:jc w:val="center"/>
    </w:pPr>
    <w:r>
      <w:rPr>
        <w:color w:val="606060"/>
        <w:sz w:val="18"/>
        <w:szCs w:val="18"/>
      </w:rPr>
      <w:t xml:space="preserve">ООО «SELLAI» (SELLAI LLC) — ИНН 312530703 — safelaw.ai — Конфиденциально</w:t>
    </w:r>
  </w:p>
  <w:p>
    <w:pPr>
      <w:jc w:val="center"/>
    </w:pPr>
    <w:r>
      <w:rPr>
        <w:color w:val="606060"/>
        <w:sz w:val="18"/>
        <w:szCs w:val="18"/>
      </w:rPr>
      <w:t xml:space="preserve">Страница </w:t>
    </w:r>
    <w:r>
      <w:rPr>
        <w:color w:val="606060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color w:val="606060"/>
        <w:sz w:val="18"/>
        <w:szCs w:val="18"/>
      </w:rPr>
      <w:t xml:space="preserve"> из </w:t>
    </w:r>
    <w:r>
      <w:rPr>
        <w:color w:val="606060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  <w:lvl w:ilvl="1" w15:tentative="1">
      <w:start w:val="1"/>
      <w:numFmt w:val="bullet"/>
      <w:lvlText w:val="◦"/>
      <w:lvlJc w:val="left"/>
      <w:pPr>
        <w:ind w:left="14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360"/>
      <w:outlineLvl w:val="0"/>
    </w:pPr>
    <w:rPr>
      <w:rFonts w:ascii="Arial" w:cs="Arial" w:eastAsia="Arial" w:hAnsi="Arial"/>
      <w:b/>
      <w:bCs/>
      <w:color w:val="0F2E4A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40" w:before="280"/>
      <w:outlineLvl w:val="1"/>
    </w:pPr>
    <w:rPr>
      <w:rFonts w:ascii="Arial" w:cs="Arial" w:eastAsia="Arial" w:hAnsi="Arial"/>
      <w:b/>
      <w:bCs/>
      <w:color w:val="0F2E4A"/>
      <w:sz w:val="26"/>
      <w:szCs w:val="26"/>
    </w:rPr>
  </w:style>
  <w:style w:type="paragraph" w:styleId="Heading3">
    <w:name w:val="Heading 3"/>
    <w:basedOn w:val="Normal"/>
    <w:next w:val="Normal"/>
    <w:qFormat/>
    <w:pPr>
      <w:spacing w:after="100" w:before="200"/>
      <w:outlineLvl w:val="2"/>
    </w:pPr>
    <w:rPr>
      <w:rFonts w:ascii="Arial" w:cs="Arial" w:eastAsia="Arial" w:hAnsi="Arial"/>
      <w:b/>
      <w:bCs/>
      <w:color w:val="1A1A1A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2026-05-16T07:31:43.821Z</dcterms:created>
  <dcterms:modified xsi:type="dcterms:W3CDTF">2026-05-16T07:31:43.835Z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