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b/>
          <w:bCs/>
          <w:color w:val="0F2E4A"/>
          <w:sz w:val="32"/>
          <w:szCs w:val="32"/>
        </w:rPr>
        <w:t xml:space="preserve">ООО «SELLAI» (SELLAI LLC)</w:t>
      </w:r>
    </w:p>
    <w:p>
      <w:pPr>
        <w:spacing w:after="120"/>
        <w:jc w:val="center"/>
      </w:pPr>
      <w:r>
        <w:rPr>
          <w:color w:val="1A1A1A"/>
          <w:sz w:val="24"/>
          <w:szCs w:val="24"/>
        </w:rPr>
        <w:t xml:space="preserve">Сервис SafeLaw (safelaw.ai)</w:t>
      </w:r>
    </w:p>
    <w:p>
      <w:pPr>
        <w:spacing w:after="2400"/>
        <w:jc w:val="center"/>
      </w:pPr>
      <w:r>
        <w:rPr>
          <w:color w:val="606060"/>
          <w:sz w:val="20"/>
          <w:szCs w:val="20"/>
        </w:rPr>
        <w:t xml:space="preserve">ИНН 312530703, г. Нукус, Республика Каракалпакстан, Узбекистан</w:t>
      </w:r>
    </w:p>
    <w:p>
      <w:pPr>
        <w:spacing w:after="240"/>
        <w:jc w:val="center"/>
      </w:pPr>
      <w:r>
        <w:rPr>
          <w:b/>
          <w:bCs/>
          <w:color w:val="0F2E4A"/>
          <w:sz w:val="44"/>
          <w:szCs w:val="44"/>
        </w:rPr>
        <w:t xml:space="preserve">ПОЛИТИКА ДОПУСТИМОГО ИСПОЛЬЗОВАНИЯ ИНФОРМАЦИОННЫХ АКТИВОВ</w:t>
      </w:r>
    </w:p>
    <w:p>
      <w:pPr>
        <w:spacing w:after="2400"/>
        <w:jc w:val="center"/>
      </w:pPr>
      <w:r>
        <w:rPr>
          <w:color w:val="606060"/>
          <w:sz w:val="22"/>
          <w:szCs w:val="22"/>
        </w:rPr>
        <w:t xml:space="preserve">Документ AUP-01</w:t>
      </w:r>
    </w:p>
    <w:p>
      <w:pPr>
        <w:jc w:val="center"/>
      </w:pPr>
      <w:r>
        <w:rPr>
          <w:sz w:val="22"/>
          <w:szCs w:val="22"/>
        </w:rPr>
        <w:t xml:space="preserve">Версия 1.0</w:t>
      </w:r>
    </w:p>
    <w:p>
      <w:pPr>
        <w:spacing w:after="120"/>
        <w:jc w:val="center"/>
      </w:pPr>
      <w:r>
        <w:rPr>
          <w:sz w:val="22"/>
          <w:szCs w:val="22"/>
        </w:rPr>
        <w:t xml:space="preserve">Дата ввода в действие: 15 мая 2026 г.</w:t>
      </w:r>
    </w:p>
    <w:p>
      <w:pPr>
        <w:spacing w:after="120"/>
        <w:jc w:val="center"/>
      </w:pPr>
      <w:r>
        <w:rPr>
          <w:i/>
          <w:iCs/>
          <w:color w:val="606060"/>
          <w:sz w:val="22"/>
          <w:szCs w:val="22"/>
        </w:rPr>
        <w:t xml:space="preserve">Соответствие: PCI DSS v4.0.1, SAQ A</w:t>
      </w:r>
    </w:p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  <w:jc w:val="both"/>
      </w:pPr>
      <w:r>
        <w:t xml:space="preserve">Настоящая Политика допустимого использования (далее — Политика) определяет правила использования информационных активов, систем, оборудования и каналов связи ООО «SELLAI» (далее — Компания) работниками, подрядчиками и иными лицами, имеющими санкционированный доступ к указанным ресурсам. Цель Политики — обеспечить безопасное, корректное и соответствующее законодательству использование информационных ресурсов Компании.</w:t>
      </w:r>
    </w:p>
    <w:p>
      <w:pPr>
        <w:pStyle w:val="Heading1"/>
      </w:pPr>
      <w:r>
        <w:t xml:space="preserve">2. Область применения</w:t>
      </w:r>
    </w:p>
    <w:p>
      <w:pPr>
        <w:spacing w:after="120"/>
        <w:jc w:val="both"/>
      </w:pPr>
      <w:r>
        <w:t xml:space="preserve">Действие настоящей Политики распространяется на: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всех работников Компании независимо от формы трудовых отношений;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подрядчиков, консультантов, исполнителей по гражданско-правовым договорам, имеющих доступ к информационным ресурсам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стажёров и иных лиц, получивших временный доступ к ресурсам Компании.</w:t>
      </w:r>
    </w:p>
    <w:p>
      <w:pPr>
        <w:spacing w:after="120"/>
        <w:jc w:val="both"/>
      </w:pPr>
      <w:r>
        <w:t xml:space="preserve">Положения Политики применяются ко всем используемым устройствам (включая личные устройства, если они используются для служебных целей), сетям, программному обеспечению и сервисам, в том числе облачным.</w:t>
      </w:r>
    </w:p>
    <w:p>
      <w:pPr>
        <w:pStyle w:val="Heading1"/>
      </w:pPr>
      <w:r>
        <w:t xml:space="preserve">3. Общие принципы использования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информационные активы Компании предоставляются в пользование исключительно для выполнения служебных обязанностей;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ограниченное личное использование (например, проверка личной электронной почты) допускается, если оно не мешает выполнению служебных задач, не нарушает законодательства и положений настоящей Политики и не создаёт рисков для безопасности;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работник несёт персональную ответственность за все действия, совершённые с использованием его учётных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передача учётных данных третьим лицам, включая других работников Компании, категорически запрещена.</w:t>
      </w:r>
    </w:p>
    <w:p>
      <w:pPr>
        <w:pStyle w:val="Heading1"/>
      </w:pPr>
      <w:r>
        <w:t xml:space="preserve">4. Аутентификация и пароли</w:t>
      </w:r>
    </w:p>
    <w:p>
      <w:pPr>
        <w:pStyle w:val="Heading2"/>
      </w:pPr>
      <w:r>
        <w:t xml:space="preserve">4.1. Требования к паролям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минимальная длина — 12 символов;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пароль должен содержать буквы и цифры (рекомендуется также использование специальных символов);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пароль не должен совпадать с одним из 4 предыдущих паролей пользователя;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пароль не должен содержать имя пользователя, имя Компании, очевидные последовательности (123456, qwerty, password и т. п.);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плановая смена пароля — не реже одного раза в 90 дней;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подозрении на компрометацию учётной записи пароль изменяется незамедлительно.</w:t>
      </w:r>
    </w:p>
    <w:p>
      <w:pPr>
        <w:pStyle w:val="Heading2"/>
      </w:pPr>
      <w:r>
        <w:t xml:space="preserve">4.2. Многофакторная аутентификация (MFA)</w:t>
      </w:r>
    </w:p>
    <w:p>
      <w:pPr>
        <w:spacing w:after="120"/>
        <w:jc w:val="both"/>
      </w:pPr>
      <w:r>
        <w:t xml:space="preserve">Обязательное использование MFA установлено для: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учётных записей Google Workspace (электронная почта, документы);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учётных записей Cloudflare, Namecheap, банковских личных кабинетов;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доступа к административным панелям серверов и баз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учётных записей, имеющих доступ к репозиториям исходного кода (GitHub, GitLab и т. п.);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любых учётных записей с привилегированным доступом.</w:t>
      </w:r>
    </w:p>
    <w:p>
      <w:pPr>
        <w:pStyle w:val="Heading2"/>
      </w:pPr>
      <w:r>
        <w:t xml:space="preserve">4.3. Хранение паролей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запрещено записывать пароли на бумажных носителях, оставляемых в открытом доступе;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запрещено хранить пароли в незашифрованном виде в файлах, заметках, переписке;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для хранения паролей используются специализированные менеджеры паролей (например, 1Password, Bitwarden, KeePassXC);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запрещено использовать одинаковые пароли для рабочих и личных учётных записей.</w:t>
      </w:r>
    </w:p>
    <w:p>
      <w:pPr>
        <w:pStyle w:val="Heading1"/>
      </w:pPr>
      <w:r>
        <w:t xml:space="preserve">5. Использование электронной почты</w:t>
      </w:r>
    </w:p>
    <w:p>
      <w:pPr>
        <w:spacing w:after="120"/>
        <w:jc w:val="both"/>
      </w:pPr>
      <w:r>
        <w:t xml:space="preserve">Корпоративная электронная почта (домен @safelaw.ai на базе Google Workspace) предоставляется для служебной переписки. При использовании электронной почты работники обязаны: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 открывать вложения и ссылки в подозрительных письмах от неизвестных отправителей;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проверять адрес отправителя при получении писем, содержащих просьбы о переводе средств, изменении реквизитов, предоставлении паролей или конфиденциальных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незамедлительно сообщать о фишинговых письмах по адресу security@safelaw.ai;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 пересылать служебную переписку на личные почтовые ящики;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 передавать через электронную почту данные платёжных карт, пароли, персональные данные в открытом виде;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использовать корпоративные подписи и формулировки, соответствующие имиджу Компании.</w:t>
      </w:r>
    </w:p>
    <w:p>
      <w:pPr>
        <w:spacing w:after="120"/>
        <w:jc w:val="both"/>
      </w:pPr>
      <w:r>
        <w:t xml:space="preserve">Запрещается использование корпоративной почты для: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рассылки массовых коммерческих сообщений (спама);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распространения материалов, нарушающих авторские права, оскорбительного или дискриминационного содержания;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регистрации в развлекательных и иных сервисах, не связанных со служебной деятельностью.</w:t>
      </w:r>
    </w:p>
    <w:p>
      <w:pPr>
        <w:pStyle w:val="Heading1"/>
      </w:pPr>
      <w:r>
        <w:t xml:space="preserve">6. Использование интернета и веб-сервисов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работники используют интернет преимущественно для решения служебных задач;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запрещено загружать на корпоративные устройства программное обеспечение и материалы с непроверенных ресурсов;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запрещено посещать ресурсы, распространяющие вредоносное ПО, контент порнографического, экстремистского или иного противоправного характера;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использовании облачных сервисов для служебных целей предпочтение отдаётся официально одобренным сервисам (Google Workspace, утверждённые AI-сервисы);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использование новых облачных сервисов для хранения или обработки данных Компании требует предварительного согласования с ответственным за информационную безопасность.</w:t>
      </w:r>
    </w:p>
    <w:p>
      <w:pPr>
        <w:pStyle w:val="Heading1"/>
      </w:pPr>
      <w:r>
        <w:t xml:space="preserve">7. Использование служебных и личных устройств</w:t>
      </w:r>
    </w:p>
    <w:p>
      <w:pPr>
        <w:pStyle w:val="Heading2"/>
      </w:pPr>
      <w:r>
        <w:t xml:space="preserve">7.1. Служебные устройства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на служебных устройствах устанавливается актуальное антивирусное программное обеспечение;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операционная система и установленные приложения регулярно обновляются;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включается полнодисковое шифрование (FileVault для macOS, BitLocker для Windows, LUKS для Linux);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устройство автоматически блокируется после 10 минут бездействия;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утере или краже устройства работник незамедлительно сообщает в Компанию для блокировки доступа.</w:t>
      </w:r>
    </w:p>
    <w:p>
      <w:pPr>
        <w:pStyle w:val="Heading2"/>
      </w:pPr>
      <w:r>
        <w:t xml:space="preserve">7.2. Использование личных устройств (BYOD)</w:t>
      </w:r>
    </w:p>
    <w:p>
      <w:pPr>
        <w:spacing w:after="120"/>
        <w:jc w:val="both"/>
      </w:pPr>
      <w:r>
        <w:t xml:space="preserve">Если работник использует личное устройство для служебных целей, на него распространяются следующие требования: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устройство защищено паролем, PIN-кодом, биометрической аутентификацией или иной формой блокировки экрана;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на устройстве установлено актуальное программное обеспечение и установлены последние обновления безопасности;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служебные данные не сохраняются в незашифрованных хранилищах;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прекращении трудовых или иных отношений работник обязан удалить все служебные данные с личного устройства.</w:t>
      </w:r>
    </w:p>
    <w:p>
      <w:pPr>
        <w:pStyle w:val="Heading1"/>
      </w:pPr>
      <w:r>
        <w:t xml:space="preserve">8. Удалённый доступ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удалённый доступ к корпоративным ресурсам осуществляется только с использованием MFA;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работе с публичными сетями Wi-Fi рекомендуется использование VPN;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экран устройства, используемого для работы со служебной информацией в общественных местах, должен быть защищён от посторонних взглядов;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запрещено оставлять устройство без присмотра в публичных местах.</w:t>
      </w:r>
    </w:p>
    <w:p>
      <w:pPr>
        <w:pStyle w:val="Heading1"/>
      </w:pPr>
      <w:r>
        <w:t xml:space="preserve">9. Защита данных платёжных карт</w:t>
      </w:r>
    </w:p>
    <w:p>
      <w:pPr>
        <w:spacing w:after="120"/>
        <w:jc w:val="both"/>
      </w:pPr>
      <w:r>
        <w:t xml:space="preserve">Учитывая работу Компании с платёжными операциями, всем работникам категорически запрещается: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принимать от пользователей данные платёжных карт (номер карты, CVV, PIN, срок действия) по электронной почте, мессенджерам, телефону, в чатах поддержки или иным каналам, минующим платёжный шлюз эквайера;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записывать, фотографировать или сохранять данные платёжных карт пользователей в каком бы то ни было виде;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обсуждать данные платёжных карт пользователей с коллегами или третьими лицами;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разрабатывать программный код, формы или процессы, которые могли бы привести к обработке PAN или SAD на стороне Компании, без предварительного письменного согласования с ответственным за информационную безопасность.</w:t>
      </w:r>
    </w:p>
    <w:p>
      <w:pPr>
        <w:spacing w:after="120"/>
        <w:jc w:val="both"/>
      </w:pPr>
      <w:r>
        <w:t xml:space="preserve">В случае, если пользователь по собственной инициативе направил данные платёжной карты по неподобающему каналу (например, в письме службе поддержки), работник обязан: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незамедлительно удалить сообщение, содержащее данные карты;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уведомить пользователя о том, что Компания не принимает платёжные реквизиты по электронной почте, и предложить совершить платёж штатным способом через сайт;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уведомить ответственного за информационную безопасность.</w:t>
      </w:r>
    </w:p>
    <w:p>
      <w:pPr>
        <w:pStyle w:val="Heading1"/>
      </w:pPr>
      <w:r>
        <w:t xml:space="preserve">10. Программное обеспечение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на корпоративных устройствах устанавливается только лицензионное или свободно распространяемое программное обеспечение;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установка нового программного обеспечения, особенно требующего повышенных привилегий, согласовывается с ответственным за информационную безопасность;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запрещается использовать пиратское программное обеспечение, кейгены, кряки и иные средства обхода лицензионных ограничений;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использование расширений браузера и плагинов оценивается на предмет рисков для безопасности и конфиденциальности данных.</w:t>
      </w:r>
    </w:p>
    <w:p>
      <w:pPr>
        <w:pStyle w:val="Heading1"/>
      </w:pPr>
      <w:r>
        <w:t xml:space="preserve">11. Защита от вредоносного ПО и фишинга</w:t>
      </w:r>
    </w:p>
    <w:p>
      <w:pPr>
        <w:spacing w:after="120"/>
        <w:jc w:val="both"/>
      </w:pPr>
      <w:r>
        <w:t xml:space="preserve">Работники обязаны: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проявлять осторожность при открытии вложений и переходе по ссылкам в электронных письмах;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проверять адрес отправителя на предмет подделки (например, замены символов в имени домена);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 вводить учётные данные на страницах, открытых по ссылкам из писем;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подозрении на заражение устройства вредоносным ПО — немедленно отключить устройство от сети и сообщить ответственному за информационную безопасность.</w:t>
      </w:r>
    </w:p>
    <w:p>
      <w:pPr>
        <w:spacing w:after="120"/>
        <w:jc w:val="both"/>
      </w:pPr>
      <w:r>
        <w:t xml:space="preserve">Признаки потенциального фишинга: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неожиданная срочность и угрозы блокировки/штрафа;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несоответствие имени отправителя и его адреса;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просьбы о переводе денежных средств, изменении банковских реквизитов, предоставлении паролей;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вложения с расширениями .exe, .zip, .scr, .docm от неизвестных отправителей.</w:t>
      </w:r>
    </w:p>
    <w:p>
      <w:pPr>
        <w:pStyle w:val="Heading1"/>
      </w:pPr>
      <w:r>
        <w:t xml:space="preserve">12. Использование AI-сервисов и сторонних сервисов</w:t>
      </w:r>
    </w:p>
    <w:p>
      <w:pPr>
        <w:spacing w:after="120"/>
        <w:jc w:val="both"/>
      </w:pPr>
      <w:r>
        <w:t xml:space="preserve">При работе со сторонними AI-сервисами (OpenAI, Anthropic, Google Vertex AI и иные) работники обязаны: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 передавать в AI-сервисы данные платёжных карт пользователей, пароли, ключи API в открытом виде;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ограничивать передачу персональных данных пользователей минимально необходимым объёмом;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использовать только официальные интеграции и API, утверждённые Компанией;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учитывать, что данные, переданные в AI-сервис, могут обрабатываться поставщиком в соответствии с его политикой.</w:t>
      </w:r>
    </w:p>
    <w:p>
      <w:pPr>
        <w:pStyle w:val="Heading1"/>
      </w:pPr>
      <w:r>
        <w:t xml:space="preserve">13. Социальные сети и публичные выступления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публикации, связанные с деятельностью Компании, согласовываются с руководством;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запрещается раскрывать в социальных сетях информацию о клиентах, партнёрах, внутренних процессах, инфраструктуре, инцидентах;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упоминании Компании в личных публикациях работник указывает, что выражает личное мнение.</w:t>
      </w:r>
    </w:p>
    <w:p>
      <w:pPr>
        <w:pStyle w:val="Heading1"/>
      </w:pPr>
      <w:r>
        <w:t xml:space="preserve">14. Запрещённые виды деятельности</w:t>
      </w:r>
    </w:p>
    <w:p>
      <w:pPr>
        <w:spacing w:after="120"/>
        <w:jc w:val="both"/>
      </w:pPr>
      <w:r>
        <w:t xml:space="preserve">При использовании ресурсов Компании категорически запрещается: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попытки несанкционированного доступа к информационным системам Компании или третьих сторон;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использование Уязвимостей программного обеспечения для целей, не связанных с разрешённым тестированием безопасности;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отключение средств защиты (антивирус, межсетевой экран, журналирование);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обход средств контроля доступа, парольной защиты, MFA;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создание, использование или распространение вредоносного программного обеспечения;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намеренное искажение или уничтожение информационных активов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действия, противоречащие законодательству Республики Узбекистан или международным обязательствам Компании.</w:t>
      </w:r>
    </w:p>
    <w:p>
      <w:pPr>
        <w:pStyle w:val="Heading1"/>
      </w:pPr>
      <w:r>
        <w:t xml:space="preserve">15. Мониторинг</w:t>
      </w:r>
    </w:p>
    <w:p>
      <w:pPr>
        <w:spacing w:after="120"/>
        <w:jc w:val="both"/>
      </w:pPr>
      <w:r>
        <w:t xml:space="preserve">Компания вправе осуществлять мониторинг использования информационных ресурсов в целях обеспечения безопасности и соблюдения настоящей Политики. Мониторинг может включать: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анализ журналов доступа к системам и приложениям;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мониторинг сетевого трафика на пограничных устройствах;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анализ журналов корпоративной электронной почты при подозрении на инциденты.</w:t>
      </w:r>
    </w:p>
    <w:p>
      <w:pPr>
        <w:spacing w:after="120"/>
        <w:jc w:val="both"/>
      </w:pPr>
      <w:r>
        <w:t xml:space="preserve">Мониторинг осуществляется с учётом требований законодательства Республики Узбекистан о персональных данных и тайне переписки.</w:t>
      </w:r>
    </w:p>
    <w:p>
      <w:pPr>
        <w:pStyle w:val="Heading1"/>
      </w:pPr>
      <w:r>
        <w:t xml:space="preserve">16. Ответственность</w:t>
      </w:r>
    </w:p>
    <w:p>
      <w:pPr>
        <w:spacing w:after="120"/>
        <w:jc w:val="both"/>
      </w:pPr>
      <w:r>
        <w:t xml:space="preserve">Нарушение положений настоящей Политики может повлечь: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дисциплинарные взыскания в соответствии с трудовым законодательством Республики Узбекистан;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прекращение трудовых или гражданско-правовых отношений;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гражданско-правовую, административную или уголовную ответственность в установленных законом случаях;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возмещение причинённого Компании ущерба.</w:t>
      </w:r>
    </w:p>
    <w:p>
      <w:pPr>
        <w:pStyle w:val="Heading1"/>
      </w:pPr>
      <w:r>
        <w:t xml:space="preserve">17. Ознакомление и обязательства</w:t>
      </w:r>
    </w:p>
    <w:p>
      <w:pPr>
        <w:spacing w:after="120"/>
        <w:jc w:val="both"/>
      </w:pPr>
      <w:r>
        <w:t xml:space="preserve">Все работники и подрядчики, на которых распространяется действие настоящей Политики, обязаны ознакомиться с её положениями под роспись при приёме на работу (заключении договора), а также при каждом существенном обновлении Политики. Ознакомление фиксируется в журнале ознакомления с локальными актами по информационной безопасности.</w:t>
      </w:r>
    </w:p>
    <w:p>
      <w:pPr>
        <w:pStyle w:val="Heading1"/>
      </w:pPr>
      <w:r>
        <w:t xml:space="preserve">18. Сведения о документе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3026"/>
        <w:gridCol w:w="2500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Версия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Дата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Изменения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Утвердил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1.0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15.05.2026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Первичное утверждение документа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Жумамуратов Р.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Утверждение документа</w:t>
      </w:r>
    </w:p>
    <w:p>
      <w:r>
        <w:t xml:space="preserve"/>
      </w:r>
    </w:p>
    <w:p>
      <w:pPr>
        <w:spacing w:after="120"/>
        <w:jc w:val="both"/>
      </w:pPr>
      <w:r>
        <w:t xml:space="preserve">Настоящий документ утверждён директором ООО «SELLAI» (SELLAI LLC) и вступает в силу с даты подписания. Документ подлежит обязательному ознакомлению всем персоналом, подрядчиками и иными лицами, имеющими доступ к информационным активам ООО «SELLAI».</w:t>
      </w:r>
    </w:p>
    <w:p>
      <w:r>
        <w:t xml:space="preserve"/>
      </w:r>
    </w:p>
    <w:p>
      <w:r>
        <w:t xml:space="preserve"/>
      </w:r>
    </w:p>
    <w:p>
      <w:pPr>
        <w:spacing w:after="120"/>
        <w:jc w:val="both"/>
      </w:pPr>
      <w:r>
        <w:t xml:space="preserve">Директор ООО «SELLAI»:</w:t>
      </w:r>
    </w:p>
    <w:p>
      <w:r>
        <w:t xml:space="preserve"/>
      </w:r>
    </w:p>
    <w:p>
      <w:pPr>
        <w:spacing w:after="120"/>
        <w:jc w:val="both"/>
      </w:pPr>
      <w:r>
        <w:rPr>
          <w:b w:val="false"/>
          <w:bCs w:val="false"/>
        </w:rPr>
        <w:t xml:space="preserve">_________________________  /  </w:t>
      </w:r>
      <w:r>
        <w:rPr>
          <w:b/>
          <w:bCs/>
        </w:rPr>
        <w:t xml:space="preserve">Жумамуратов Р.</w:t>
      </w:r>
    </w:p>
    <w:p>
      <w:pPr>
        <w:spacing w:after="120"/>
        <w:jc w:val="both"/>
      </w:pPr>
      <w:r>
        <w:t xml:space="preserve">                              (подпись)                              (расшифровка)</w:t>
      </w:r>
    </w:p>
    <w:p>
      <w:r>
        <w:t xml:space="preserve"/>
      </w:r>
    </w:p>
    <w:p>
      <w:pPr>
        <w:spacing w:after="120"/>
        <w:jc w:val="both"/>
      </w:pPr>
      <w:r>
        <w:t xml:space="preserve">Дата: «_____» _____________ 2026 г.</w:t>
      </w:r>
    </w:p>
    <w:p>
      <w:r>
        <w:t xml:space="preserve"/>
      </w:r>
    </w:p>
    <w:p>
      <w:pPr>
        <w:spacing w:after="120"/>
        <w:jc w:val="both"/>
      </w:pPr>
      <w:r>
        <w:t xml:space="preserve">М.П.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F2E4A" w:sz="6" w:space="6"/>
      </w:pBdr>
      <w:jc w:val="center"/>
    </w:pPr>
    <w:r>
      <w:rPr>
        <w:color w:val="606060"/>
        <w:sz w:val="18"/>
        <w:szCs w:val="18"/>
      </w:rPr>
      <w:t xml:space="preserve">ООО «SELLAI» (SELLAI LLC) — ИНН 312530703 — safelaw.ai — Конфиденциально</w:t>
    </w:r>
  </w:p>
  <w:p>
    <w:pPr>
      <w:jc w:val="center"/>
    </w:pPr>
    <w:r>
      <w:rPr>
        <w:color w:val="606060"/>
        <w:sz w:val="18"/>
        <w:szCs w:val="18"/>
      </w:rPr>
      <w:t xml:space="preserve">Страница </w:t>
    </w:r>
    <w:r>
      <w:rPr>
        <w:color w:val="60606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06060"/>
        <w:sz w:val="18"/>
        <w:szCs w:val="18"/>
      </w:rPr>
      <w:t xml:space="preserve"> из </w:t>
    </w:r>
    <w:r>
      <w:rPr>
        <w:color w:val="60606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F2E4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0F2E4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2026-05-15T14:08:13.754Z</dcterms:created>
  <dcterms:modified xsi:type="dcterms:W3CDTF">2026-05-15T14:08:13.754Z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